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92 vom 16. Juni 2022</w:t>
      </w:r>
    </w:p>
    <w:p>
      <w:r>
        <w:t>GR Gerichte, 2022-06-16, DE</w:t>
      </w:r>
    </w:p>
    <w:p>
      <w:r>
        <w:rPr>
          <w:b/>
        </w:rPr>
        <w:t xml:space="preserve">Quelle: </w:t>
      </w:r>
      <w:r>
        <w:t>https://mcp.opencaselaw.ch/entscheid/gr_gerichte_ZK1 2022 92</w:t>
      </w:r>
    </w:p>
    <w:p>
      <w:r>
        <w:t>FR: GR_GERICHTE ZK1 2022 92 du 16 juin 2022</w:t>
      </w:r>
    </w:p>
    <w:p>
      <w:r>
        <w:t>IT: GR_GERICHTE ZK1 2022 92 del 16 giugno 2022</w:t>
      </w:r>
    </w:p>
    <w:p>
      <w:pPr>
        <w:pStyle w:val="Heading2"/>
      </w:pPr>
      <w:r>
        <w:t>Regeste</w:t>
      </w:r>
    </w:p>
    <w:p>
      <w:r>
        <w:t>Weitschweifigkeit | Personenrecht</w:t>
      </w:r>
    </w:p>
    <w:p>
      <w:pPr>
        <w:pStyle w:val="Heading2"/>
      </w:pPr>
      <w:r>
        <w:t>Erwägungen</w:t>
      </w:r>
    </w:p>
    <w:p>
      <w:r>
        <w:rPr>
          <w:b/>
        </w:rPr>
        <w:t>E. 1</w:t>
      </w:r>
    </w:p>
    <w:p>
      <w:r>
        <w:t>Die angefochtene Verfügung betreffend Rückweisung der Duplik wegen Weitschweifigkeit stellt eine prozessleitende Verfügung dar. Solche Entscheide sind nicht berufungsfähig (vgl. Art. 308 Abs. 1 ZPO). Hingegen ist die Beschwerde zulässig, wenn sie entweder im Gesetz ausdrücklich vorgesehen ist, oder wenn durch die Verfügung ein nicht leicht wiedergutzumachender Nachteil droht (Art. 319 lit. b ZPO). Eine Beschwerde gegen die Rückweisung der Duplik wegen Weitschweifigkeit ist im Gesetz nicht ausdrücklich vorgesehen. Die vorliegende Beschwerde ist daher nur zulässig, wenn dem Beschwerdeführer durch die ange- fochtene Verfügung ein nicht leicht wiedergutzumachender Nachteil droht.</w:t>
      </w:r>
    </w:p>
    <w:p>
      <w:r>
        <w:rPr>
          <w:b/>
        </w:rPr>
        <w:t>E. 2</w:t>
      </w:r>
    </w:p>
    <w:p>
      <w:r>
        <w:t>Beim Erfordernis des drohenden, nicht leicht wiedergutzumachenden Nach- teils i.S.v. Art. 319 lit. b Ziff. 2 ZPO handelt es sich um einen unbestimmten Rechtsbegriff, der vom Gericht unter Berücksichtigung der konkreten Umstände und in pflichtgemässer Ausübung des Ermessens konkretisiert werden muss. Als nicht leicht wiedergutzumachender Nachteil (rechtlicher Natur) hat jedenfalls ein solcher zu gelten, der auch durch einen für den Beschwerdeführer günstigen En- dentscheid nicht mehr beseitigt werden kann. Nach der Rechtsprechung des Kan- tonsgerichts sollen neben Nachteilen rechtlicher Natur unter Umständen auch sol- che rein tatsächlicher Natur von Art. 319 lit. b Ziff. 2 ZPO erfasst werden können. Voraussetzung ist indessen, dass die Lage der betroffenen Partei durch den ange- fochtenen Entscheid erheblich erschwert wird (statt vieler KGer GR ZK2 18 10 v. 21.3.2021 E. 2.2 m.w.H.). Die Behauptungs- und Beweislast für den nicht leicht</w:t>
      </w:r>
    </w:p>
    <w:p>
      <w:r>
        <w:rPr>
          <w:b/>
        </w:rPr>
        <w:t>E. 4</w:t>
      </w:r>
    </w:p>
    <w:p>
      <w:r>
        <w:t>/ 6 wiedergutzumachenden Nachteil liegt beim Beschwerdeführer (Alexander Brun- ner/Moritz Vischer, in: Oberhammer/Domej/Haas [Hrsg.], Kurzkommentar ZPO, 3. Aufl., Basel 2021, N 12 zu Art. 319 ZPO m.w.H.). 3. Das Kantonsgericht trat auf die erste Beschwerde, die der Beschwerdefüh- rer noch gegen die Zurückweisung der Duplik mit Ansetzung einer Nachfrist zu deren Verbesserung erhoben hatte, nicht ein. Es verneinte einen nicht leicht wie- dergutzumachenden Nachteil i.S.v. Art. 319 lit. b Ziff. 2 ZPO sowohl in tatsächli- cher als auch in rechtlicher Hinsicht. Was den vom Beschwerdeführer damals gel- tend gemachten rechtlichen Nachteil angeht, begründete das Kantonsgericht sei- nen Entscheid wörtlich wie folgt (KGer GR ZK1 21 117 v. 26.8.2021 E. 4.2): […] Der Beschwerdeführer macht zusammengefasst geltend, durch die an- geordnete Kürzung der Duplik laufe er Gefahr, die Tatsachenbehauptungen des Beschwerdegegners nur ungenügend zu bestreiten, was er später im Verfahren nicht mehr nachholen könne. Sinngemäss beruft er sich damit auf seinen Anspruch auf rechtliches Gehör (Art. 53 ZPO). Tatsächlich steht die Zurückweisung einer Eingabe wegen Weitschweifigkeit in einem Span- nungsverhältnis mit dem Anspruch der betreffenden Partei auf rechtliches Gehör (vgl. Nina J. Frei, Berner Kommentar zur Schweizerischen Zivilpro- zessordnung, Band I, Bern 2012, N 15 zu Art. 132 ZPO). Sollte aber die Vorinstanz in ihrem Endentscheid aufgrund der gekürzten Duplik von man- gelhaft substantiierten Bestreitungen ausgehen, kann der Beschwerdefüh- rer wiederum im Rechtsmittel gegen den Endentscheid die Rüge der Gehörsverletzung vorbringen. Auch hier können demnach die Konsequen- zen der angefochtenen Verfügung – sofern notwendig – später noch korri- giert werden. In der möglichen Gehörsverletzung, die aus der Kürzung der Duplik resultiert, ist daher ebenfalls kein nicht leicht wiedergutzumachender Nachteil i.S.v. Art. 319 lit. b Ziff. 2 ZPO zu erblicken. Diese Erwägungen treffen auch im vorliegenden Fall zu. Jedenfalls zeigt der Be- schwerdeführer in seiner neuen Beschwerde nicht auf, inwiefern aus der definiti- ven Zurückweisung seiner Duplik nun ein nicht leicht wiedergutzumachender Nachteil resultieren sollte. Er macht einzig geltend, mit der Zurückweisung gälten sämtliche Tatsachenbehauptungen, die der Beschwerdegegner in seiner Replik vorgebracht habe, im weiteren Verfahren als unbestritten, was nicht mehr rück- gängig gemacht werden könne (act. A.1, Ziff. 14–37). Auch wenn diese Säumnis- folge im erstinstanzlichen Verfahren greifen sollte, liegt darin kein nicht leicht wie- dergutzumachender Nachteil i.S.v. Art. 319 lit. b Ziff. 2 ZPO. Der Beschwerdefüh- rer kann nicht nur die Zurückweisung seiner Duplik mit Aufforderung zu deren Verbesserung, sondern auch die definitive Zurückweisung, soweit diese unrecht- mässig erfolgt sein und zu einem für ihn ungünstigen Prozessergebnis führen soll- te, im Rechtsmittel gegen den Endentscheid rügen (vgl. Art. 308 Abs. 1 lit. a i.V.m. Art. 310 ZPO). Zum jetzigen Zeitpunkt besteht für die Überprüfung der Zurückwei- sung kein Anlass, zumal noch offen ist, ob die Replik des Beschwerdegegners</w:t>
      </w:r>
    </w:p>
    <w:p>
      <w:r>
        <w:rPr>
          <w:b/>
        </w:rPr>
        <w:t>E. 5</w:t>
      </w:r>
    </w:p>
    <w:p>
      <w:r>
        <w:t>Die Prozesskosten gehen in der Regel zu Lasten der unterliegenden Partei (Art. 106 Abs. 1 ZPO). Unnötige Prozesskosten hat jedoch zu bezahlen, wer sie verursacht hat (Art. 108 ZPO). Auf dieser Grundlage können Prozesskosten aus- nahmsweise nicht der unterliegenden Partei, sondern deren Rechtsvertretung per- sönlich auferlegt werden. Dies rechtfertigt sich insbesondere dann, wenn die Rechtsvertretung die Unzulässigkeit des Rechtsmittels mit einem Minimum an Aufmerksamkeit hätte erkennen können (vgl. BGE 129 IV 206 E. 2; BGer 4A_612/2014 v. 3.3.2015 E. 1.3; je m.w.H.). Spätestens nach dem ersten Nicht- eintretensentscheid des Kantonsgerichts hätte für die Rechtsvertretung des Be- schwerdeführers klar sein müssen, dass gegen die Zurückweisung der Duplik we- gen Weitschweifigkeit kein Rechtsmittel zur Verfügung steht. Indem diese trotz- dem ein weiteres Beschwerdeverfahren einleitete, verursachte sie unnötige Pro- zesskosten. Die Gerichtskosten des vorliegenden zweiten Beschwerdeverfahrens, die mit Blick auf den verursachten Aufwand auf CHF 750.00 festgesetzt werden (Art. 15 Abs. 2 EGzZPO i.V.m. Art. 10 Abs. 2 VGZ [BR 320.210]), gehen daher zu Lasten des Anwalts, der für die Beschwerde verantwortlich zeichnet. Da keine Be- schwerdeantwort eingeholt wurde, erübrigt sich die Zusprechung einer Parteien- tschädigung an den Beschwerdegegner.</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